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1）クレーンの性能、機能を把握し、無理な運転は行わない。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2）定格荷重を超える荷は絶対につらない。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3）つり荷の質量目測は正確に（若しくはやや多めに）行う。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4）運転の合図は、一定の合図を定め、指名された合図者のみが行う。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5）荷をつったまま運転位置を離れない。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6）荷の形状、寸法、質量等に応じた適切な玉掛用具と玉掛け方法をとる。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7）フックは、つり荷の重心の真上に位置決めを行う。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8）衝撃、荷振れ運転及び斜め吊りはしない。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 xml:space="preserve"> 9）地切り後一旦停止し、玉掛け用ワイヤーロープの張り及びつり荷の安定等を確認する。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>10）つり荷の下に作業者を立ち入らせない。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>11）強風等により危険が予想されるときは作業を中止する。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>12）地盤の状況、周辺設備、関係作業者等の周囲状況の安全確認を行う。</w:t>
      </w:r>
    </w:p>
    <w:p w:rsidR="00915965" w:rsidRPr="00915965" w:rsidRDefault="00915965" w:rsidP="00915965">
      <w:r w:rsidRPr="00915965">
        <w:rPr>
          <w:rFonts w:hint="eastAsia"/>
        </w:rPr>
        <w:t>（</w:t>
      </w:r>
      <w:r w:rsidRPr="00915965">
        <w:t>13）移動式クレーンは、原則としてアウトリガーを最大に張り出して作業する。</w:t>
      </w:r>
    </w:p>
    <w:p w:rsidR="00915965" w:rsidRDefault="00915965" w:rsidP="00915965">
      <w:r w:rsidRPr="00915965">
        <w:rPr>
          <w:rFonts w:hint="eastAsia"/>
        </w:rPr>
        <w:t>（</w:t>
      </w:r>
      <w:r w:rsidRPr="00915965">
        <w:t>14）架空電線に接近して作業するときは、事前に保護管を取り付ける等の感電防止措置を行う。</w:t>
      </w:r>
      <w:bookmarkStart w:id="0" w:name="_GoBack"/>
      <w:bookmarkEnd w:id="0"/>
    </w:p>
    <w:sectPr w:rsidR="00915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5"/>
    <w:rsid w:val="0091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6A74E-0E91-42A8-BB06-1083402D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1</cp:revision>
  <dcterms:created xsi:type="dcterms:W3CDTF">2019-03-07T13:28:00Z</dcterms:created>
  <dcterms:modified xsi:type="dcterms:W3CDTF">2019-03-07T13:29:00Z</dcterms:modified>
</cp:coreProperties>
</file>